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F3DF6" w:rsidRDefault="00DF3DF6">
      <w:pPr>
        <w:jc w:val="center"/>
        <w:rPr>
          <w:rFonts w:ascii="方正小标宋简体" w:eastAsia="方正小标宋简体" w:hAnsi="宋体" w:cs="宋体"/>
          <w:b/>
          <w:kern w:val="0"/>
          <w:sz w:val="36"/>
          <w:szCs w:val="36"/>
        </w:rPr>
      </w:pPr>
      <w:bookmarkStart w:id="0" w:name="_GoBack"/>
      <w:bookmarkEnd w:id="0"/>
      <w:r>
        <w:rPr>
          <w:rFonts w:ascii="方正小标宋简体" w:eastAsia="方正小标宋简体" w:hAnsi="宋体" w:cs="宋体" w:hint="eastAsia"/>
          <w:b/>
          <w:kern w:val="0"/>
          <w:sz w:val="36"/>
          <w:szCs w:val="36"/>
        </w:rPr>
        <w:t>上海第二工业大学</w:t>
      </w:r>
      <w:r>
        <w:rPr>
          <w:rFonts w:ascii="方正小标宋简体" w:eastAsia="方正小标宋简体" w:hAnsi="宋体" w:cs="宋体"/>
          <w:b/>
          <w:kern w:val="0"/>
          <w:sz w:val="36"/>
          <w:szCs w:val="36"/>
        </w:rPr>
        <w:t>硕士学位</w:t>
      </w:r>
      <w:r>
        <w:rPr>
          <w:rFonts w:ascii="方正小标宋简体" w:eastAsia="方正小标宋简体" w:hAnsi="宋体" w:cs="宋体" w:hint="eastAsia"/>
          <w:b/>
          <w:kern w:val="0"/>
          <w:sz w:val="36"/>
          <w:szCs w:val="36"/>
        </w:rPr>
        <w:t>授予办法</w:t>
      </w:r>
      <w:r>
        <w:rPr>
          <w:rFonts w:ascii="方正小标宋简体" w:eastAsia="方正小标宋简体" w:hAnsi="宋体" w:cs="宋体"/>
          <w:b/>
          <w:kern w:val="0"/>
          <w:sz w:val="36"/>
          <w:szCs w:val="36"/>
        </w:rPr>
        <w:t>（</w:t>
      </w:r>
      <w:r>
        <w:rPr>
          <w:rFonts w:ascii="方正小标宋简体" w:eastAsia="方正小标宋简体" w:hAnsi="宋体" w:cs="宋体" w:hint="eastAsia"/>
          <w:b/>
          <w:kern w:val="0"/>
          <w:sz w:val="36"/>
          <w:szCs w:val="36"/>
        </w:rPr>
        <w:t>试</w:t>
      </w:r>
      <w:r>
        <w:rPr>
          <w:rFonts w:ascii="方正小标宋简体" w:eastAsia="方正小标宋简体" w:hAnsi="宋体" w:cs="宋体"/>
          <w:b/>
          <w:kern w:val="0"/>
          <w:sz w:val="36"/>
          <w:szCs w:val="36"/>
        </w:rPr>
        <w:t>行）</w:t>
      </w:r>
    </w:p>
    <w:p w:rsidR="00DF3DF6" w:rsidRDefault="00DF3DF6">
      <w:pPr>
        <w:widowControl/>
        <w:spacing w:afterLines="50" w:after="156" w:line="520" w:lineRule="exact"/>
        <w:ind w:firstLineChars="200" w:firstLine="640"/>
        <w:jc w:val="center"/>
        <w:rPr>
          <w:rFonts w:ascii="黑体" w:eastAsia="黑体" w:hAnsi="宋体" w:cs="黑体"/>
          <w:color w:val="000000"/>
          <w:kern w:val="0"/>
          <w:sz w:val="32"/>
          <w:szCs w:val="32"/>
        </w:rPr>
      </w:pPr>
    </w:p>
    <w:p w:rsidR="00DF3DF6" w:rsidRDefault="00DF3DF6">
      <w:pPr>
        <w:widowControl/>
        <w:spacing w:afterLines="50" w:after="156" w:line="520" w:lineRule="exact"/>
        <w:ind w:firstLineChars="200" w:firstLine="640"/>
        <w:jc w:val="center"/>
      </w:pPr>
      <w:r>
        <w:rPr>
          <w:rFonts w:ascii="黑体" w:eastAsia="黑体" w:hAnsi="宋体" w:cs="黑体"/>
          <w:color w:val="000000"/>
          <w:kern w:val="0"/>
          <w:sz w:val="32"/>
          <w:szCs w:val="32"/>
        </w:rPr>
        <w:t>第一章</w:t>
      </w:r>
      <w:r>
        <w:rPr>
          <w:rFonts w:ascii="宋体" w:eastAsia="黑体" w:hAnsi="宋体" w:cs="宋体" w:hint="eastAsia"/>
          <w:color w:val="000000"/>
          <w:kern w:val="0"/>
          <w:sz w:val="32"/>
          <w:szCs w:val="32"/>
        </w:rPr>
        <w:t> </w:t>
      </w:r>
      <w:r>
        <w:rPr>
          <w:rFonts w:ascii="黑体" w:eastAsia="黑体" w:hAnsi="宋体" w:cs="黑体" w:hint="eastAsia"/>
          <w:color w:val="000000"/>
          <w:kern w:val="0"/>
          <w:sz w:val="32"/>
          <w:szCs w:val="32"/>
        </w:rPr>
        <w:t xml:space="preserve"> 总  则</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第一条</w:t>
      </w:r>
      <w:r>
        <w:rPr>
          <w:rFonts w:ascii="仿宋_GB2312" w:eastAsia="仿宋_GB2312" w:hAnsi="宋体" w:cs="仿宋_GB2312"/>
          <w:color w:val="000000"/>
          <w:kern w:val="0"/>
          <w:sz w:val="32"/>
          <w:szCs w:val="32"/>
        </w:rPr>
        <w:t xml:space="preserve">  </w:t>
      </w:r>
      <w:r>
        <w:rPr>
          <w:rFonts w:ascii="仿宋_GB2312" w:eastAsia="仿宋_GB2312" w:hAnsi="宋体" w:cs="仿宋_GB2312" w:hint="eastAsia"/>
          <w:color w:val="000000"/>
          <w:kern w:val="0"/>
          <w:sz w:val="32"/>
          <w:szCs w:val="32"/>
        </w:rPr>
        <w:t>根据《中华人民共和国学位条例》、《中华人民共和国学位条例暂行实施办法》及国务院学位委员会有关文件精神，为保证学位授予质量，结合本校实际，特制订本办法。</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第二条</w:t>
      </w:r>
      <w:r>
        <w:rPr>
          <w:rFonts w:ascii="仿宋_GB2312" w:eastAsia="仿宋_GB2312" w:hAnsi="宋体" w:cs="仿宋_GB2312" w:hint="eastAsia"/>
          <w:color w:val="000000"/>
          <w:kern w:val="0"/>
          <w:sz w:val="32"/>
          <w:szCs w:val="32"/>
        </w:rPr>
        <w:t xml:space="preserve"> 学校本着“坚持标准、全面考核、保证质量、客观公正”的原则开展硕士学位授予工作。</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p>
    <w:p w:rsidR="00DF3DF6" w:rsidRDefault="00DF3DF6">
      <w:pPr>
        <w:widowControl/>
        <w:spacing w:afterLines="50" w:after="156" w:line="520" w:lineRule="exact"/>
        <w:ind w:firstLineChars="200" w:firstLine="640"/>
        <w:jc w:val="center"/>
        <w:rPr>
          <w:rFonts w:ascii="黑体" w:eastAsia="黑体" w:hAnsi="宋体" w:cs="黑体"/>
          <w:color w:val="000000"/>
          <w:kern w:val="0"/>
          <w:sz w:val="32"/>
          <w:szCs w:val="32"/>
        </w:rPr>
      </w:pPr>
      <w:r>
        <w:rPr>
          <w:rFonts w:ascii="黑体" w:eastAsia="黑体" w:hAnsi="宋体" w:cs="黑体"/>
          <w:color w:val="000000"/>
          <w:kern w:val="0"/>
          <w:sz w:val="32"/>
          <w:szCs w:val="32"/>
        </w:rPr>
        <w:t>第</w:t>
      </w:r>
      <w:r>
        <w:rPr>
          <w:rFonts w:ascii="黑体" w:eastAsia="黑体" w:hAnsi="宋体" w:cs="黑体" w:hint="eastAsia"/>
          <w:color w:val="000000"/>
          <w:kern w:val="0"/>
          <w:sz w:val="32"/>
          <w:szCs w:val="32"/>
        </w:rPr>
        <w:t>二</w:t>
      </w:r>
      <w:r>
        <w:rPr>
          <w:rFonts w:ascii="黑体" w:eastAsia="黑体" w:hAnsi="宋体" w:cs="黑体"/>
          <w:color w:val="000000"/>
          <w:kern w:val="0"/>
          <w:sz w:val="32"/>
          <w:szCs w:val="32"/>
        </w:rPr>
        <w:t>章</w:t>
      </w:r>
      <w:r>
        <w:rPr>
          <w:rFonts w:ascii="黑体" w:eastAsia="黑体" w:hAnsi="宋体" w:cs="黑体" w:hint="eastAsia"/>
          <w:color w:val="000000"/>
          <w:kern w:val="0"/>
          <w:sz w:val="32"/>
          <w:szCs w:val="32"/>
        </w:rPr>
        <w:t>  </w:t>
      </w:r>
      <w:r>
        <w:rPr>
          <w:rFonts w:ascii="黑体" w:eastAsia="黑体" w:hAnsi="宋体" w:cs="黑体" w:hint="eastAsia"/>
          <w:color w:val="000000"/>
          <w:kern w:val="0"/>
          <w:sz w:val="32"/>
          <w:szCs w:val="32"/>
        </w:rPr>
        <w:t>学位申请要求</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第三条</w:t>
      </w:r>
      <w:r>
        <w:rPr>
          <w:rFonts w:ascii="仿宋_GB2312" w:eastAsia="仿宋_GB2312" w:hAnsi="宋体" w:cs="仿宋_GB2312" w:hint="eastAsia"/>
          <w:color w:val="000000"/>
          <w:kern w:val="0"/>
          <w:sz w:val="32"/>
          <w:szCs w:val="32"/>
        </w:rPr>
        <w:t xml:space="preserve">  拥护中国共产党的领导，拥护社会主义制度，遵纪守法，品德良好。</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第四条</w:t>
      </w:r>
      <w:r>
        <w:rPr>
          <w:rFonts w:ascii="仿宋_GB2312" w:eastAsia="仿宋_GB2312" w:hAnsi="宋体" w:cs="仿宋_GB2312" w:hint="eastAsia"/>
          <w:color w:val="000000"/>
          <w:kern w:val="0"/>
          <w:sz w:val="32"/>
          <w:szCs w:val="32"/>
        </w:rPr>
        <w:t xml:space="preserve"> 申请硕士学位专业实践要求</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申请人需按照研究生培养计划，完成所要求的专业实践环节，提交专业实践总结,并通过相应的考核。</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第五条</w:t>
      </w:r>
      <w:r>
        <w:rPr>
          <w:rFonts w:ascii="仿宋_GB2312" w:eastAsia="仿宋_GB2312" w:hAnsi="宋体" w:cs="仿宋_GB2312" w:hint="eastAsia"/>
          <w:color w:val="000000"/>
          <w:kern w:val="0"/>
          <w:sz w:val="32"/>
          <w:szCs w:val="32"/>
        </w:rPr>
        <w:t xml:space="preserve"> 申请硕士学位课程学习要求</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1.掌握本学科领域较扎实的基础理论和较系统的专业知识、技能；</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2.所修课程成绩合格，并修满规定学分。</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第六条</w:t>
      </w:r>
      <w:r>
        <w:rPr>
          <w:rFonts w:ascii="仿宋_GB2312" w:eastAsia="仿宋_GB2312" w:hAnsi="宋体" w:cs="仿宋_GB2312" w:hint="eastAsia"/>
          <w:color w:val="000000"/>
          <w:kern w:val="0"/>
          <w:sz w:val="32"/>
          <w:szCs w:val="32"/>
        </w:rPr>
        <w:t xml:space="preserve"> 申请硕士学位学术水平要求</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1. 在申请学位的专业领域，具有独立担负专门技术工作的能力，掌握解决实际问题的先进技术方法或手段；</w:t>
      </w:r>
    </w:p>
    <w:p w:rsidR="00DF3DF6" w:rsidRDefault="00DF3DF6">
      <w:pPr>
        <w:widowControl/>
        <w:spacing w:beforeLines="50" w:before="156" w:afterLines="50" w:after="156" w:line="520" w:lineRule="exact"/>
        <w:ind w:firstLineChars="200" w:firstLine="640"/>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2. 在申请学位的专业及相关领域，具备较熟练的外语听、说、读、写、译能力；</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lastRenderedPageBreak/>
        <w:t xml:space="preserve"> 3.在申请学位的专业领域，具有较强的科研创新能力。</w:t>
      </w:r>
    </w:p>
    <w:p w:rsidR="00DF3DF6" w:rsidRDefault="00DF3DF6">
      <w:pPr>
        <w:widowControl/>
        <w:spacing w:line="520" w:lineRule="exact"/>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必须满足以下三个条件之一：</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（1）本人作为发明人的已授权的实用新型专利（或软件著作权）1项，或所申请的发明专利进入实审阶段1项。</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（2）在申请学位的专业领域，至少有以本校为第一署名单位且本人为第一作者或除导师外的第一作者,公开在学术刊物或学术会议正式出版的论文集上发表学术论文1篇（以刊出或收到录用通知为准）。</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（3）作为主要科研人员参加省部级及以上重大科研项目。</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 xml:space="preserve"> 第七条</w:t>
      </w:r>
      <w:r>
        <w:rPr>
          <w:rFonts w:ascii="仿宋_GB2312" w:eastAsia="仿宋_GB2312" w:hAnsi="宋体" w:cs="仿宋_GB2312" w:hint="eastAsia"/>
          <w:color w:val="000000"/>
          <w:kern w:val="0"/>
          <w:sz w:val="32"/>
          <w:szCs w:val="32"/>
        </w:rPr>
        <w:t xml:space="preserve"> 学位论文要求</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1.论文选题应来源于应用课题或现实问题，必须要有明确的行业背景和应用价值；</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2.论文需在导师的指导下独立完成，要体现研究生综合运用科学理论、方法和技术解决实际问题的能力；</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3.论文工作必须有一定的研究工作量，在论文开题后，用于论文工作的时间一般不少于</w:t>
      </w:r>
      <w:proofErr w:type="gramStart"/>
      <w:r>
        <w:rPr>
          <w:rFonts w:ascii="仿宋_GB2312" w:eastAsia="仿宋_GB2312" w:hAnsi="宋体" w:cs="仿宋_GB2312" w:hint="eastAsia"/>
          <w:color w:val="000000"/>
          <w:kern w:val="0"/>
          <w:sz w:val="32"/>
          <w:szCs w:val="32"/>
        </w:rPr>
        <w:t>一</w:t>
      </w:r>
      <w:proofErr w:type="gramEnd"/>
      <w:r>
        <w:rPr>
          <w:rFonts w:ascii="仿宋_GB2312" w:eastAsia="仿宋_GB2312" w:hAnsi="宋体" w:cs="仿宋_GB2312" w:hint="eastAsia"/>
          <w:color w:val="000000"/>
          <w:kern w:val="0"/>
          <w:sz w:val="32"/>
          <w:szCs w:val="32"/>
        </w:rPr>
        <w:t>学年；</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4.论文内容和形式应符合《上海市工程硕士专业学位论文基本要求和评价指标体系》的规定和学校要求；</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5.学位论文完成后，应由导师严格审阅，经导师同意后方可提出学位论文答辩申请。</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第八条</w:t>
      </w:r>
      <w:r>
        <w:rPr>
          <w:rFonts w:ascii="仿宋_GB2312" w:eastAsia="仿宋_GB2312" w:hAnsi="宋体" w:cs="仿宋_GB2312" w:hint="eastAsia"/>
          <w:color w:val="000000"/>
          <w:kern w:val="0"/>
          <w:sz w:val="32"/>
          <w:szCs w:val="32"/>
        </w:rPr>
        <w:t xml:space="preserve"> 硕士学位申请人具有下列情况之一，不接受其授予硕士学位申请：</w:t>
      </w:r>
    </w:p>
    <w:p w:rsidR="00DF3DF6" w:rsidRDefault="00DF3DF6">
      <w:pPr>
        <w:widowControl/>
        <w:spacing w:line="520" w:lineRule="exact"/>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1. 在道德品质、遵纪守法等方面有严重问题者;</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2．未完成培养计划，或未取得规定的学分；</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3．论文经导师审阅被认为不合格；</w:t>
      </w:r>
    </w:p>
    <w:p w:rsidR="00DF3DF6" w:rsidRDefault="00DF3DF6">
      <w:pPr>
        <w:widowControl/>
        <w:spacing w:line="520" w:lineRule="exact"/>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4．</w:t>
      </w:r>
      <w:r w:rsidR="00C0500C">
        <w:rPr>
          <w:rFonts w:ascii="仿宋_GB2312" w:eastAsia="仿宋_GB2312" w:hAnsi="宋体" w:cs="仿宋_GB2312" w:hint="eastAsia"/>
          <w:color w:val="000000"/>
          <w:kern w:val="0"/>
          <w:sz w:val="32"/>
          <w:szCs w:val="32"/>
        </w:rPr>
        <w:t>有考试作弊或</w:t>
      </w:r>
      <w:r>
        <w:rPr>
          <w:rFonts w:ascii="仿宋_GB2312" w:eastAsia="仿宋_GB2312" w:hAnsi="宋体" w:cs="仿宋_GB2312" w:hint="eastAsia"/>
          <w:color w:val="000000"/>
          <w:kern w:val="0"/>
          <w:sz w:val="32"/>
          <w:szCs w:val="32"/>
        </w:rPr>
        <w:t>在学位论文中有严重的舞弊作伪、抄袭剽窃等行为；</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5．在校期间受“记过”以上处分未解除；</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6．超出规定学习年限。</w:t>
      </w:r>
    </w:p>
    <w:p w:rsidR="00DF3DF6" w:rsidRDefault="00DF3DF6">
      <w:pPr>
        <w:widowControl/>
        <w:spacing w:beforeLines="50" w:before="156" w:afterLines="50" w:after="156" w:line="520" w:lineRule="exact"/>
        <w:ind w:firstLineChars="200" w:firstLine="640"/>
        <w:jc w:val="center"/>
        <w:rPr>
          <w:rFonts w:ascii="宋体" w:eastAsia="黑体" w:hAnsi="宋体" w:cs="仿宋_GB2312"/>
          <w:color w:val="000000"/>
          <w:kern w:val="0"/>
          <w:sz w:val="32"/>
          <w:szCs w:val="32"/>
        </w:rPr>
      </w:pPr>
      <w:r>
        <w:rPr>
          <w:rFonts w:ascii="宋体" w:eastAsia="黑体" w:hAnsi="宋体" w:cs="仿宋_GB2312" w:hint="eastAsia"/>
          <w:color w:val="000000"/>
          <w:kern w:val="0"/>
          <w:sz w:val="32"/>
          <w:szCs w:val="32"/>
        </w:rPr>
        <w:t>第三章</w:t>
      </w:r>
      <w:r>
        <w:rPr>
          <w:rFonts w:ascii="宋体" w:eastAsia="黑体" w:hAnsi="宋体" w:cs="仿宋_GB2312" w:hint="eastAsia"/>
          <w:color w:val="000000"/>
          <w:kern w:val="0"/>
          <w:sz w:val="32"/>
          <w:szCs w:val="32"/>
        </w:rPr>
        <w:t xml:space="preserve">  </w:t>
      </w:r>
      <w:r>
        <w:rPr>
          <w:rFonts w:ascii="宋体" w:eastAsia="黑体" w:hAnsi="宋体" w:cs="仿宋_GB2312" w:hint="eastAsia"/>
          <w:color w:val="000000"/>
          <w:kern w:val="0"/>
          <w:sz w:val="32"/>
          <w:szCs w:val="32"/>
        </w:rPr>
        <w:t>学位论文评阅</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w:t>
      </w:r>
      <w:r>
        <w:rPr>
          <w:rFonts w:ascii="仿宋_GB2312" w:eastAsia="仿宋_GB2312" w:hAnsi="宋体" w:cs="仿宋_GB2312" w:hint="eastAsia"/>
          <w:b/>
          <w:color w:val="000000"/>
          <w:kern w:val="0"/>
          <w:sz w:val="32"/>
          <w:szCs w:val="32"/>
        </w:rPr>
        <w:t xml:space="preserve">第九条 </w:t>
      </w:r>
      <w:r>
        <w:rPr>
          <w:rFonts w:ascii="仿宋_GB2312" w:eastAsia="仿宋_GB2312" w:hAnsi="宋体" w:cs="仿宋_GB2312" w:hint="eastAsia"/>
          <w:color w:val="000000"/>
          <w:kern w:val="0"/>
          <w:sz w:val="32"/>
          <w:szCs w:val="32"/>
        </w:rPr>
        <w:t>研究生提出学位论文答辩申请，研究生部收到答辩申请后，组织学位论文进行评阅。评阅</w:t>
      </w:r>
      <w:proofErr w:type="gramStart"/>
      <w:r>
        <w:rPr>
          <w:rFonts w:ascii="仿宋_GB2312" w:eastAsia="仿宋_GB2312" w:hAnsi="宋体" w:cs="仿宋_GB2312" w:hint="eastAsia"/>
          <w:color w:val="000000"/>
          <w:kern w:val="0"/>
          <w:sz w:val="32"/>
          <w:szCs w:val="32"/>
        </w:rPr>
        <w:t>包括查重检测</w:t>
      </w:r>
      <w:proofErr w:type="gramEnd"/>
      <w:r>
        <w:rPr>
          <w:rFonts w:ascii="仿宋_GB2312" w:eastAsia="仿宋_GB2312" w:hAnsi="宋体" w:cs="仿宋_GB2312" w:hint="eastAsia"/>
          <w:color w:val="000000"/>
          <w:kern w:val="0"/>
          <w:sz w:val="32"/>
          <w:szCs w:val="32"/>
        </w:rPr>
        <w:t>、校外“双盲”审查、学术评议三个阶段。</w:t>
      </w:r>
    </w:p>
    <w:p w:rsidR="00DF3DF6" w:rsidRDefault="00DF3DF6">
      <w:pPr>
        <w:widowControl/>
        <w:spacing w:line="520" w:lineRule="exact"/>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1.</w:t>
      </w:r>
      <w:proofErr w:type="gramStart"/>
      <w:r>
        <w:rPr>
          <w:rFonts w:ascii="仿宋_GB2312" w:eastAsia="仿宋_GB2312" w:hAnsi="宋体" w:cs="仿宋_GB2312" w:hint="eastAsia"/>
          <w:color w:val="000000"/>
          <w:kern w:val="0"/>
          <w:sz w:val="32"/>
          <w:szCs w:val="32"/>
        </w:rPr>
        <w:t>查重检测</w:t>
      </w:r>
      <w:proofErr w:type="gramEnd"/>
      <w:r>
        <w:rPr>
          <w:rFonts w:ascii="仿宋_GB2312" w:eastAsia="仿宋_GB2312" w:hAnsi="宋体" w:cs="仿宋_GB2312" w:hint="eastAsia"/>
          <w:color w:val="000000"/>
          <w:kern w:val="0"/>
          <w:sz w:val="32"/>
          <w:szCs w:val="32"/>
        </w:rPr>
        <w:t>。研究生部对校内评阅合格的论文</w:t>
      </w:r>
      <w:proofErr w:type="gramStart"/>
      <w:r>
        <w:rPr>
          <w:rFonts w:ascii="仿宋_GB2312" w:eastAsia="仿宋_GB2312" w:hAnsi="宋体" w:cs="仿宋_GB2312" w:hint="eastAsia"/>
          <w:color w:val="000000"/>
          <w:kern w:val="0"/>
          <w:sz w:val="32"/>
          <w:szCs w:val="32"/>
        </w:rPr>
        <w:t>组织查重检测</w:t>
      </w:r>
      <w:proofErr w:type="gramEnd"/>
      <w:r>
        <w:rPr>
          <w:rFonts w:ascii="仿宋_GB2312" w:eastAsia="仿宋_GB2312" w:hAnsi="宋体" w:cs="仿宋_GB2312" w:hint="eastAsia"/>
          <w:color w:val="000000"/>
          <w:kern w:val="0"/>
          <w:sz w:val="32"/>
          <w:szCs w:val="32"/>
        </w:rPr>
        <w:t>。复制比不超过20%的学位论文,视为检测合格；复制比在20%以上30%以下，申请人须认真修改论文并经导师同意后方可进行第二次检测；复制比在30%（含30%）以上，申请人须对论文进行重大修改，在半年后可再次申请。</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2．校外“双盲”审查。研究生部</w:t>
      </w:r>
      <w:proofErr w:type="gramStart"/>
      <w:r>
        <w:rPr>
          <w:rFonts w:ascii="仿宋_GB2312" w:eastAsia="仿宋_GB2312" w:hAnsi="宋体" w:cs="仿宋_GB2312" w:hint="eastAsia"/>
          <w:color w:val="000000"/>
          <w:kern w:val="0"/>
          <w:sz w:val="32"/>
          <w:szCs w:val="32"/>
        </w:rPr>
        <w:t>对查重检测</w:t>
      </w:r>
      <w:proofErr w:type="gramEnd"/>
      <w:r>
        <w:rPr>
          <w:rFonts w:ascii="仿宋_GB2312" w:eastAsia="仿宋_GB2312" w:hAnsi="宋体" w:cs="仿宋_GB2312" w:hint="eastAsia"/>
          <w:color w:val="000000"/>
          <w:kern w:val="0"/>
          <w:sz w:val="32"/>
          <w:szCs w:val="32"/>
        </w:rPr>
        <w:t>合格的学位论文组织开展校外“双盲”审查，</w:t>
      </w:r>
      <w:proofErr w:type="gramStart"/>
      <w:r>
        <w:rPr>
          <w:rFonts w:ascii="仿宋_GB2312" w:eastAsia="仿宋_GB2312" w:hAnsi="宋体" w:cs="仿宋_GB2312" w:hint="eastAsia"/>
          <w:color w:val="000000"/>
          <w:kern w:val="0"/>
          <w:sz w:val="32"/>
          <w:szCs w:val="32"/>
        </w:rPr>
        <w:t>盲审专家</w:t>
      </w:r>
      <w:proofErr w:type="gramEnd"/>
      <w:r>
        <w:rPr>
          <w:rFonts w:ascii="仿宋_GB2312" w:eastAsia="仿宋_GB2312" w:hAnsi="宋体" w:cs="仿宋_GB2312" w:hint="eastAsia"/>
          <w:color w:val="000000"/>
          <w:kern w:val="0"/>
          <w:sz w:val="32"/>
          <w:szCs w:val="32"/>
        </w:rPr>
        <w:t>库采用学校独立的专家库或上海市的专家库。具体程序和要求按照《上海第二工业大学硕士学位论文“双盲”评审办法》执行。</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3．学术评议。学位论文必须由2位本学科领域的专家对论文进行学术评议，专家应具有高级技术职称并具有研究生导师资格，其中至少有一位是校外专家。</w:t>
      </w:r>
    </w:p>
    <w:p w:rsidR="00DF3DF6" w:rsidRDefault="00DF3DF6" w:rsidP="00B758F9">
      <w:pPr>
        <w:widowControl/>
        <w:spacing w:line="520" w:lineRule="exact"/>
        <w:ind w:firstLineChars="200" w:firstLine="640"/>
        <w:jc w:val="left"/>
        <w:rPr>
          <w:rFonts w:ascii="仿宋_GB2312" w:eastAsia="仿宋_GB2312" w:hAnsi="宋体" w:cs="仿宋_GB2312"/>
          <w:color w:val="000000"/>
          <w:spacing w:val="-4"/>
          <w:sz w:val="32"/>
          <w:szCs w:val="32"/>
        </w:rPr>
      </w:pPr>
      <w:r>
        <w:rPr>
          <w:rFonts w:ascii="仿宋_GB2312" w:eastAsia="仿宋_GB2312" w:hAnsi="宋体" w:cs="仿宋_GB2312" w:hint="eastAsia"/>
          <w:color w:val="000000"/>
          <w:kern w:val="0"/>
          <w:sz w:val="32"/>
          <w:szCs w:val="32"/>
        </w:rPr>
        <w:t>评阅人在《上海第二工业大学硕士研究生学位论文评阅意见书》中除对论文作较为详细的学术评议外，对论文可否提交答辩应写出明确意见。评阅人的评阅结论分为“同意答辩”、“不同意答辩”、“修改后答辩”三种</w:t>
      </w:r>
      <w:r>
        <w:rPr>
          <w:rFonts w:ascii="仿宋_GB2312" w:eastAsia="仿宋_GB2312" w:hAnsi="宋体" w:cs="仿宋_GB2312"/>
          <w:color w:val="000000"/>
          <w:spacing w:val="-4"/>
          <w:sz w:val="32"/>
          <w:szCs w:val="32"/>
        </w:rPr>
        <w:t>。</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第十</w:t>
      </w:r>
      <w:r>
        <w:rPr>
          <w:rFonts w:ascii="仿宋_GB2312" w:eastAsia="仿宋_GB2312" w:hAnsi="宋体" w:cs="仿宋_GB2312"/>
          <w:b/>
          <w:color w:val="000000"/>
          <w:kern w:val="0"/>
          <w:sz w:val="32"/>
          <w:szCs w:val="32"/>
        </w:rPr>
        <w:t>条</w:t>
      </w:r>
      <w:r>
        <w:rPr>
          <w:rFonts w:ascii="仿宋_GB2312" w:eastAsia="仿宋_GB2312" w:hAnsi="宋体" w:cs="仿宋_GB2312" w:hint="eastAsia"/>
          <w:b/>
          <w:color w:val="000000"/>
          <w:kern w:val="0"/>
          <w:sz w:val="32"/>
          <w:szCs w:val="32"/>
        </w:rPr>
        <w:t> </w:t>
      </w:r>
      <w:r>
        <w:rPr>
          <w:rFonts w:ascii="宋体" w:eastAsia="仿宋_GB2312" w:hAnsi="宋体" w:cs="宋体" w:hint="eastAsia"/>
          <w:color w:val="000000"/>
          <w:kern w:val="0"/>
          <w:sz w:val="32"/>
          <w:szCs w:val="32"/>
        </w:rPr>
        <w:t xml:space="preserve"> </w:t>
      </w:r>
      <w:r>
        <w:rPr>
          <w:rFonts w:ascii="仿宋_GB2312" w:eastAsia="仿宋_GB2312" w:hAnsi="宋体" w:cs="仿宋_GB2312" w:hint="eastAsia"/>
          <w:color w:val="000000"/>
          <w:kern w:val="0"/>
          <w:sz w:val="32"/>
          <w:szCs w:val="32"/>
        </w:rPr>
        <w:t>评阅结论均为“同意答辩”的，可组织答辩；评阅结论均为“不同意答辩”的，则不得答辩，本次答辩申请无效；评阅结论为一个“同意答辩”、一个“不同意答辩”的，增聘1名评阅人重新评阅，结论仍为“不同意答辩”的，则不能答辩，本次答辩申请无效。评阅结论为“修改后答辩”的，由申请人按要求认真修改，经导师认定已达到修改要求的，视为“同意答辩”。</w:t>
      </w:r>
    </w:p>
    <w:p w:rsidR="00DF3DF6" w:rsidRDefault="00DF3DF6">
      <w:pPr>
        <w:widowControl/>
        <w:spacing w:line="520" w:lineRule="exact"/>
        <w:ind w:firstLineChars="750" w:firstLine="2400"/>
        <w:jc w:val="left"/>
        <w:rPr>
          <w:rFonts w:ascii="宋体" w:eastAsia="黑体" w:hAnsi="宋体" w:cs="仿宋_GB2312"/>
          <w:color w:val="000000"/>
          <w:kern w:val="0"/>
          <w:sz w:val="32"/>
          <w:szCs w:val="32"/>
        </w:rPr>
      </w:pPr>
      <w:r w:rsidRPr="000B0758">
        <w:rPr>
          <w:rFonts w:ascii="宋体" w:eastAsia="黑体" w:hAnsi="宋体" w:cs="仿宋_GB2312" w:hint="eastAsia"/>
          <w:color w:val="000000"/>
          <w:kern w:val="0"/>
          <w:sz w:val="32"/>
          <w:szCs w:val="32"/>
          <w:highlight w:val="yellow"/>
        </w:rPr>
        <w:t>第四章</w:t>
      </w:r>
      <w:r w:rsidRPr="000B0758">
        <w:rPr>
          <w:rFonts w:ascii="宋体" w:eastAsia="黑体" w:hAnsi="宋体" w:cs="仿宋_GB2312" w:hint="eastAsia"/>
          <w:color w:val="000000"/>
          <w:kern w:val="0"/>
          <w:sz w:val="32"/>
          <w:szCs w:val="32"/>
          <w:highlight w:val="yellow"/>
        </w:rPr>
        <w:t xml:space="preserve"> </w:t>
      </w:r>
      <w:r w:rsidRPr="000B0758">
        <w:rPr>
          <w:rFonts w:ascii="宋体" w:eastAsia="黑体" w:hAnsi="宋体" w:cs="仿宋_GB2312" w:hint="eastAsia"/>
          <w:color w:val="000000"/>
          <w:kern w:val="0"/>
          <w:sz w:val="32"/>
          <w:szCs w:val="32"/>
          <w:highlight w:val="yellow"/>
        </w:rPr>
        <w:t>学位论文答辩</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 xml:space="preserve">第十一条 </w:t>
      </w:r>
      <w:r>
        <w:rPr>
          <w:rFonts w:ascii="仿宋_GB2312" w:eastAsia="仿宋_GB2312" w:hAnsi="宋体" w:cs="仿宋_GB2312" w:hint="eastAsia"/>
          <w:color w:val="000000"/>
          <w:kern w:val="0"/>
          <w:sz w:val="32"/>
          <w:szCs w:val="32"/>
        </w:rPr>
        <w:t>每个研究生的学位论文答辩由论文答辩委员会主持。答辩委员会应在答辩前二周组成。其人员组成及工作职责为：</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1．论文答辩委员会由5位或5位以上（为单数）具有高级职称或相当专业技术职务的专家组成，其中企业（行业）专家至少1人,论文评阅人最多1人。答辩人的指导教师不能作为答辩委员会委员。答辩委员会设秘书1人,负责相关材料的收集及答辩情况记录等事务，无表决权。</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2. 答辩委员会委员必须坚持实事求是的科学态度，认真审阅论文，必须出席论文答辩会，答辩时进行提问和参加投票表决。</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第十二条</w:t>
      </w:r>
      <w:r>
        <w:rPr>
          <w:rFonts w:ascii="仿宋_GB2312" w:eastAsia="仿宋_GB2312" w:hAnsi="宋体" w:cs="仿宋_GB2312" w:hint="eastAsia"/>
          <w:color w:val="000000"/>
          <w:kern w:val="0"/>
          <w:sz w:val="32"/>
          <w:szCs w:val="32"/>
        </w:rPr>
        <w:t xml:space="preserve"> 每位研究生应在答辩前一周，将学位论文送交答辩秘书。</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第十三条</w:t>
      </w:r>
      <w:r>
        <w:rPr>
          <w:rFonts w:ascii="仿宋_GB2312" w:eastAsia="仿宋_GB2312" w:hAnsi="宋体" w:cs="仿宋_GB2312" w:hint="eastAsia"/>
          <w:color w:val="000000"/>
          <w:kern w:val="0"/>
          <w:sz w:val="32"/>
          <w:szCs w:val="32"/>
        </w:rPr>
        <w:t xml:space="preserve"> 论文答辩会应发扬学术民主，以公开方式举行。</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第十四条</w:t>
      </w:r>
      <w:r>
        <w:rPr>
          <w:rFonts w:ascii="仿宋_GB2312" w:eastAsia="仿宋_GB2312" w:hAnsi="宋体" w:cs="仿宋_GB2312" w:hint="eastAsia"/>
          <w:color w:val="000000"/>
          <w:kern w:val="0"/>
          <w:sz w:val="32"/>
          <w:szCs w:val="32"/>
        </w:rPr>
        <w:t xml:space="preserve"> 论文答辩规则及程序</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（1）答辩委员会主任主持会议，明确答辩程序和要求。</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（2）学位申请人报告学位论文主要内容。</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（3）答辩委员会成员提问，申请人答辩。</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（4）答辩委员会主任宣布休会，答辩委员会讨论。指导教师可根据主任要求，简单介绍申请人其他表现，答辩委</w:t>
      </w:r>
      <w:r w:rsidR="00B758F9">
        <w:rPr>
          <w:rFonts w:ascii="仿宋_GB2312" w:eastAsia="仿宋_GB2312" w:hAnsi="宋体" w:cs="仿宋_GB2312" w:hint="eastAsia"/>
          <w:color w:val="000000"/>
          <w:kern w:val="0"/>
          <w:sz w:val="32"/>
          <w:szCs w:val="32"/>
        </w:rPr>
        <w:t>员讨论答辩情况形成评语；并以无</w:t>
      </w:r>
      <w:r>
        <w:rPr>
          <w:rFonts w:ascii="仿宋_GB2312" w:eastAsia="仿宋_GB2312" w:hAnsi="宋体" w:cs="仿宋_GB2312" w:hint="eastAsia"/>
          <w:color w:val="000000"/>
          <w:kern w:val="0"/>
          <w:sz w:val="32"/>
          <w:szCs w:val="32"/>
        </w:rPr>
        <w:t>记名投票方式对是否通过论文答辩进行表决，经全体答辩委员三分之二以上（含三分之二）同意，方可通过，否则视为不通过。</w:t>
      </w:r>
    </w:p>
    <w:p w:rsidR="00DF3DF6" w:rsidRDefault="00DF3DF6" w:rsidP="00B758F9">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（5）答辩委员会主任宣布答辩委员会对论文的评语和表决结果。</w:t>
      </w:r>
    </w:p>
    <w:p w:rsidR="00DF3DF6" w:rsidRDefault="00DF3DF6">
      <w:pPr>
        <w:widowControl/>
        <w:spacing w:line="520" w:lineRule="exact"/>
        <w:ind w:firstLineChars="200" w:firstLine="643"/>
        <w:jc w:val="left"/>
        <w:rPr>
          <w:rFonts w:ascii="仿宋_GB2312" w:eastAsia="仿宋_GB2312" w:hAnsi="宋体" w:cs="仿宋_GB2312"/>
          <w:color w:val="FF6600"/>
          <w:kern w:val="0"/>
          <w:sz w:val="32"/>
          <w:szCs w:val="32"/>
        </w:rPr>
      </w:pPr>
      <w:r>
        <w:rPr>
          <w:rFonts w:ascii="仿宋_GB2312" w:eastAsia="仿宋_GB2312" w:hAnsi="宋体" w:cs="仿宋_GB2312" w:hint="eastAsia"/>
          <w:b/>
          <w:color w:val="000000"/>
          <w:kern w:val="0"/>
          <w:sz w:val="32"/>
          <w:szCs w:val="32"/>
        </w:rPr>
        <w:t xml:space="preserve">第十五条 </w:t>
      </w:r>
      <w:r>
        <w:rPr>
          <w:rFonts w:ascii="仿宋_GB2312" w:eastAsia="仿宋_GB2312" w:hAnsi="宋体" w:cs="仿宋_GB2312" w:hint="eastAsia"/>
          <w:color w:val="000000"/>
          <w:kern w:val="0"/>
          <w:sz w:val="32"/>
          <w:szCs w:val="32"/>
        </w:rPr>
        <w:t>论文答辩未通过者，学位论文工作需要进一步深化和完善，申请人可在论文修改后重新申请答辩。</w:t>
      </w:r>
    </w:p>
    <w:p w:rsidR="00DF3DF6" w:rsidRDefault="00DF3DF6">
      <w:pPr>
        <w:widowControl/>
        <w:spacing w:line="520" w:lineRule="exact"/>
        <w:ind w:firstLineChars="200" w:firstLine="643"/>
        <w:jc w:val="left"/>
        <w:rPr>
          <w:rFonts w:ascii="仿宋_GB2312" w:eastAsia="仿宋_GB2312" w:hAnsi="宋体" w:cs="仿宋_GB2312"/>
          <w:kern w:val="0"/>
          <w:sz w:val="32"/>
          <w:szCs w:val="32"/>
        </w:rPr>
      </w:pPr>
      <w:r>
        <w:rPr>
          <w:rFonts w:ascii="仿宋_GB2312" w:eastAsia="仿宋_GB2312" w:hAnsi="宋体" w:cs="仿宋_GB2312" w:hint="eastAsia"/>
          <w:b/>
          <w:kern w:val="0"/>
          <w:sz w:val="32"/>
          <w:szCs w:val="32"/>
        </w:rPr>
        <w:t xml:space="preserve">第十六条 </w:t>
      </w:r>
      <w:r>
        <w:rPr>
          <w:rFonts w:ascii="仿宋_GB2312" w:eastAsia="仿宋_GB2312" w:hAnsi="宋体" w:cs="仿宋_GB2312" w:hint="eastAsia"/>
          <w:color w:val="000000"/>
          <w:kern w:val="0"/>
          <w:sz w:val="32"/>
          <w:szCs w:val="32"/>
        </w:rPr>
        <w:t>论文答辩通过者，可根据答辩委员会意见对学位论文进行修改；在学位授予前，将研究生学位论文和其他相关资料一并提交研究生部存档。</w:t>
      </w:r>
    </w:p>
    <w:p w:rsidR="00DF3DF6" w:rsidRDefault="00DF3DF6">
      <w:pPr>
        <w:widowControl/>
        <w:spacing w:beforeLines="50" w:before="156" w:afterLines="50" w:after="156" w:line="520" w:lineRule="exact"/>
        <w:ind w:firstLineChars="200" w:firstLine="640"/>
        <w:jc w:val="center"/>
        <w:rPr>
          <w:rFonts w:ascii="宋体" w:eastAsia="黑体" w:hAnsi="宋体" w:cs="仿宋_GB2312"/>
          <w:color w:val="000000"/>
          <w:kern w:val="0"/>
          <w:sz w:val="32"/>
          <w:szCs w:val="32"/>
        </w:rPr>
      </w:pPr>
      <w:r>
        <w:rPr>
          <w:rFonts w:ascii="宋体" w:eastAsia="黑体" w:hAnsi="宋体" w:cs="仿宋_GB2312" w:hint="eastAsia"/>
          <w:color w:val="000000"/>
          <w:kern w:val="0"/>
          <w:sz w:val="32"/>
          <w:szCs w:val="32"/>
        </w:rPr>
        <w:t>第五章</w:t>
      </w:r>
      <w:r>
        <w:rPr>
          <w:rFonts w:ascii="宋体" w:eastAsia="黑体" w:hAnsi="宋体" w:cs="仿宋_GB2312" w:hint="eastAsia"/>
          <w:color w:val="000000"/>
          <w:kern w:val="0"/>
          <w:sz w:val="32"/>
          <w:szCs w:val="32"/>
        </w:rPr>
        <w:t> </w:t>
      </w:r>
      <w:r>
        <w:rPr>
          <w:rFonts w:ascii="宋体" w:eastAsia="黑体" w:hAnsi="宋体" w:cs="仿宋_GB2312" w:hint="eastAsia"/>
          <w:color w:val="000000"/>
          <w:kern w:val="0"/>
          <w:sz w:val="32"/>
          <w:szCs w:val="32"/>
        </w:rPr>
        <w:t>学位评定与授予</w:t>
      </w:r>
    </w:p>
    <w:p w:rsidR="00DF3DF6" w:rsidRDefault="00DF3DF6">
      <w:pPr>
        <w:widowControl/>
        <w:spacing w:line="520" w:lineRule="exact"/>
        <w:ind w:firstLineChars="200" w:firstLine="643"/>
        <w:jc w:val="left"/>
        <w:rPr>
          <w:rFonts w:ascii="仿宋_GB2312" w:eastAsia="仿宋_GB2312" w:hAnsi="宋体" w:cs="仿宋_GB2312"/>
          <w:b/>
          <w:color w:val="000000"/>
          <w:kern w:val="0"/>
          <w:sz w:val="32"/>
          <w:szCs w:val="32"/>
        </w:rPr>
      </w:pPr>
      <w:r>
        <w:rPr>
          <w:rFonts w:ascii="仿宋_GB2312" w:eastAsia="仿宋_GB2312" w:hAnsi="宋体" w:cs="仿宋_GB2312" w:hint="eastAsia"/>
          <w:b/>
          <w:color w:val="000000"/>
          <w:kern w:val="0"/>
          <w:sz w:val="32"/>
          <w:szCs w:val="32"/>
        </w:rPr>
        <w:t xml:space="preserve">第十七条 </w:t>
      </w:r>
      <w:r>
        <w:rPr>
          <w:rFonts w:ascii="仿宋_GB2312" w:eastAsia="仿宋_GB2312" w:hAnsi="宋体" w:cs="仿宋_GB2312" w:hint="eastAsia"/>
          <w:color w:val="000000"/>
          <w:kern w:val="0"/>
          <w:sz w:val="32"/>
          <w:szCs w:val="32"/>
        </w:rPr>
        <w:t>学位</w:t>
      </w:r>
      <w:proofErr w:type="gramStart"/>
      <w:r>
        <w:rPr>
          <w:rFonts w:ascii="仿宋_GB2312" w:eastAsia="仿宋_GB2312" w:hAnsi="宋体" w:cs="仿宋_GB2312" w:hint="eastAsia"/>
          <w:color w:val="000000"/>
          <w:kern w:val="0"/>
          <w:sz w:val="32"/>
          <w:szCs w:val="32"/>
        </w:rPr>
        <w:t>评定分</w:t>
      </w:r>
      <w:proofErr w:type="gramEnd"/>
      <w:r>
        <w:rPr>
          <w:rFonts w:ascii="仿宋_GB2312" w:eastAsia="仿宋_GB2312" w:hAnsi="宋体" w:cs="仿宋_GB2312" w:hint="eastAsia"/>
          <w:color w:val="000000"/>
          <w:kern w:val="0"/>
          <w:sz w:val="32"/>
          <w:szCs w:val="32"/>
        </w:rPr>
        <w:t>委员会对通过论文答辩的个人材料进行全面讨论和审核，提出建议授予学位的研究生名单,</w:t>
      </w:r>
      <w:proofErr w:type="gramStart"/>
      <w:r>
        <w:rPr>
          <w:rFonts w:ascii="仿宋_GB2312" w:eastAsia="仿宋_GB2312" w:hAnsi="宋体" w:cs="仿宋_GB2312" w:hint="eastAsia"/>
          <w:color w:val="000000"/>
          <w:kern w:val="0"/>
          <w:sz w:val="32"/>
          <w:szCs w:val="32"/>
        </w:rPr>
        <w:t>报校学位</w:t>
      </w:r>
      <w:proofErr w:type="gramEnd"/>
      <w:r>
        <w:rPr>
          <w:rFonts w:ascii="仿宋_GB2312" w:eastAsia="仿宋_GB2312" w:hAnsi="宋体" w:cs="仿宋_GB2312" w:hint="eastAsia"/>
          <w:color w:val="000000"/>
          <w:kern w:val="0"/>
          <w:sz w:val="32"/>
          <w:szCs w:val="32"/>
        </w:rPr>
        <w:t>评定委员会审定。</w:t>
      </w:r>
    </w:p>
    <w:p w:rsidR="00DF3DF6" w:rsidRDefault="00DF3DF6">
      <w:pPr>
        <w:widowControl/>
        <w:spacing w:line="520" w:lineRule="exact"/>
        <w:ind w:firstLineChars="200" w:firstLine="643"/>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 xml:space="preserve">第十八条 </w:t>
      </w:r>
      <w:r>
        <w:rPr>
          <w:rFonts w:ascii="仿宋_GB2312" w:eastAsia="仿宋_GB2312" w:hAnsi="宋体" w:cs="仿宋_GB2312" w:hint="eastAsia"/>
          <w:color w:val="000000"/>
          <w:kern w:val="0"/>
          <w:sz w:val="32"/>
          <w:szCs w:val="32"/>
        </w:rPr>
        <w:t>校学位评定委员会每年在6月和11月各召开一次学位</w:t>
      </w:r>
      <w:r w:rsidR="00B758F9">
        <w:rPr>
          <w:rFonts w:ascii="仿宋_GB2312" w:eastAsia="仿宋_GB2312" w:hAnsi="宋体" w:cs="仿宋_GB2312" w:hint="eastAsia"/>
          <w:color w:val="000000"/>
          <w:kern w:val="0"/>
          <w:sz w:val="32"/>
          <w:szCs w:val="32"/>
        </w:rPr>
        <w:t>评</w:t>
      </w:r>
      <w:r>
        <w:rPr>
          <w:rFonts w:ascii="仿宋_GB2312" w:eastAsia="仿宋_GB2312" w:hAnsi="宋体" w:cs="仿宋_GB2312" w:hint="eastAsia"/>
          <w:color w:val="000000"/>
          <w:kern w:val="0"/>
          <w:sz w:val="32"/>
          <w:szCs w:val="32"/>
        </w:rPr>
        <w:t>定委员会会议，对各学位</w:t>
      </w:r>
      <w:proofErr w:type="gramStart"/>
      <w:r>
        <w:rPr>
          <w:rFonts w:ascii="仿宋_GB2312" w:eastAsia="仿宋_GB2312" w:hAnsi="宋体" w:cs="仿宋_GB2312" w:hint="eastAsia"/>
          <w:color w:val="000000"/>
          <w:kern w:val="0"/>
          <w:sz w:val="32"/>
          <w:szCs w:val="32"/>
        </w:rPr>
        <w:t>评定分</w:t>
      </w:r>
      <w:proofErr w:type="gramEnd"/>
      <w:r>
        <w:rPr>
          <w:rFonts w:ascii="仿宋_GB2312" w:eastAsia="仿宋_GB2312" w:hAnsi="宋体" w:cs="仿宋_GB2312" w:hint="eastAsia"/>
          <w:color w:val="000000"/>
          <w:kern w:val="0"/>
          <w:sz w:val="32"/>
          <w:szCs w:val="32"/>
        </w:rPr>
        <w:t>委员会</w:t>
      </w:r>
      <w:r w:rsidR="00B758F9">
        <w:rPr>
          <w:rFonts w:ascii="仿宋_GB2312" w:eastAsia="仿宋_GB2312" w:hAnsi="宋体" w:cs="仿宋_GB2312" w:hint="eastAsia"/>
          <w:color w:val="000000"/>
          <w:kern w:val="0"/>
          <w:sz w:val="32"/>
          <w:szCs w:val="32"/>
        </w:rPr>
        <w:t>等</w:t>
      </w:r>
      <w:r>
        <w:rPr>
          <w:rFonts w:ascii="仿宋_GB2312" w:eastAsia="仿宋_GB2312" w:hAnsi="宋体" w:cs="仿宋_GB2312" w:hint="eastAsia"/>
          <w:color w:val="000000"/>
          <w:kern w:val="0"/>
          <w:sz w:val="32"/>
          <w:szCs w:val="32"/>
        </w:rPr>
        <w:t>报送的建议授予学位的研究生名单予以审定,并以</w:t>
      </w:r>
      <w:r w:rsidR="00B758F9">
        <w:rPr>
          <w:rFonts w:ascii="仿宋_GB2312" w:eastAsia="仿宋_GB2312" w:hAnsi="宋体" w:cs="仿宋_GB2312" w:hint="eastAsia"/>
          <w:color w:val="000000"/>
          <w:kern w:val="0"/>
          <w:sz w:val="32"/>
          <w:szCs w:val="32"/>
        </w:rPr>
        <w:t>无</w:t>
      </w:r>
      <w:r>
        <w:rPr>
          <w:rFonts w:ascii="仿宋_GB2312" w:eastAsia="仿宋_GB2312" w:hAnsi="宋体" w:cs="仿宋_GB2312" w:hint="eastAsia"/>
          <w:color w:val="000000"/>
          <w:kern w:val="0"/>
          <w:sz w:val="32"/>
          <w:szCs w:val="32"/>
        </w:rPr>
        <w:t>记名投票方式，</w:t>
      </w:r>
      <w:proofErr w:type="gramStart"/>
      <w:r>
        <w:rPr>
          <w:rFonts w:ascii="仿宋_GB2312" w:eastAsia="仿宋_GB2312" w:hAnsi="宋体" w:cs="仿宋_GB2312" w:hint="eastAsia"/>
          <w:color w:val="000000"/>
          <w:kern w:val="0"/>
          <w:sz w:val="32"/>
          <w:szCs w:val="32"/>
        </w:rPr>
        <w:t>作出</w:t>
      </w:r>
      <w:proofErr w:type="gramEnd"/>
      <w:r>
        <w:rPr>
          <w:rFonts w:ascii="仿宋_GB2312" w:eastAsia="仿宋_GB2312" w:hAnsi="宋体" w:cs="仿宋_GB2312" w:hint="eastAsia"/>
          <w:color w:val="000000"/>
          <w:kern w:val="0"/>
          <w:sz w:val="32"/>
          <w:szCs w:val="32"/>
        </w:rPr>
        <w:t>同意或不同意授予研究生硕士学位的决议。</w:t>
      </w:r>
    </w:p>
    <w:p w:rsidR="00DF3DF6" w:rsidRDefault="00DF3DF6">
      <w:pPr>
        <w:widowControl/>
        <w:spacing w:line="520" w:lineRule="exact"/>
        <w:ind w:firstLine="636"/>
        <w:jc w:val="left"/>
        <w:rPr>
          <w:rFonts w:ascii="仿宋_GB2312" w:eastAsia="仿宋_GB2312" w:hAnsi="宋体" w:cs="仿宋_GB2312"/>
          <w:color w:val="000000"/>
          <w:kern w:val="0"/>
          <w:sz w:val="32"/>
          <w:szCs w:val="32"/>
        </w:rPr>
      </w:pPr>
      <w:r>
        <w:rPr>
          <w:rFonts w:ascii="仿宋_GB2312" w:eastAsia="仿宋_GB2312" w:hAnsi="宋体" w:cs="仿宋_GB2312" w:hint="eastAsia"/>
          <w:b/>
          <w:color w:val="000000"/>
          <w:kern w:val="0"/>
          <w:sz w:val="32"/>
          <w:szCs w:val="32"/>
        </w:rPr>
        <w:t>第十九条</w:t>
      </w:r>
      <w:r>
        <w:rPr>
          <w:rFonts w:ascii="仿宋_GB2312" w:eastAsia="仿宋_GB2312" w:hAnsi="宋体" w:cs="仿宋_GB2312" w:hint="eastAsia"/>
          <w:color w:val="000000"/>
          <w:kern w:val="0"/>
          <w:sz w:val="32"/>
          <w:szCs w:val="32"/>
        </w:rPr>
        <w:t xml:space="preserve"> 校学位评定委员会应将其</w:t>
      </w:r>
      <w:proofErr w:type="gramStart"/>
      <w:r>
        <w:rPr>
          <w:rFonts w:ascii="仿宋_GB2312" w:eastAsia="仿宋_GB2312" w:hAnsi="宋体" w:cs="仿宋_GB2312" w:hint="eastAsia"/>
          <w:color w:val="000000"/>
          <w:kern w:val="0"/>
          <w:sz w:val="32"/>
          <w:szCs w:val="32"/>
        </w:rPr>
        <w:t>作出</w:t>
      </w:r>
      <w:proofErr w:type="gramEnd"/>
      <w:r>
        <w:rPr>
          <w:rFonts w:ascii="仿宋_GB2312" w:eastAsia="仿宋_GB2312" w:hAnsi="宋体" w:cs="仿宋_GB2312" w:hint="eastAsia"/>
          <w:color w:val="000000"/>
          <w:kern w:val="0"/>
          <w:sz w:val="32"/>
          <w:szCs w:val="32"/>
        </w:rPr>
        <w:t>的同意授予硕士学位的研究生名单，在全校范围内公示至少十个工作日，公示结束无异议，方可颁发硕士学位证书。对公示结果有异议的,由校学位评定委员会授权分委员会提出处理意见，</w:t>
      </w:r>
      <w:proofErr w:type="gramStart"/>
      <w:r>
        <w:rPr>
          <w:rFonts w:ascii="仿宋_GB2312" w:eastAsia="仿宋_GB2312" w:hAnsi="宋体" w:cs="仿宋_GB2312" w:hint="eastAsia"/>
          <w:color w:val="000000"/>
          <w:kern w:val="0"/>
          <w:sz w:val="32"/>
          <w:szCs w:val="32"/>
        </w:rPr>
        <w:t>报校学位</w:t>
      </w:r>
      <w:proofErr w:type="gramEnd"/>
      <w:r>
        <w:rPr>
          <w:rFonts w:ascii="仿宋_GB2312" w:eastAsia="仿宋_GB2312" w:hAnsi="宋体" w:cs="仿宋_GB2312" w:hint="eastAsia"/>
          <w:color w:val="000000"/>
          <w:kern w:val="0"/>
          <w:sz w:val="32"/>
          <w:szCs w:val="32"/>
        </w:rPr>
        <w:t>评定委员会主任审定后处理。</w:t>
      </w:r>
    </w:p>
    <w:p w:rsidR="00DF3DF6" w:rsidRDefault="00DF3DF6">
      <w:pPr>
        <w:widowControl/>
        <w:spacing w:line="520" w:lineRule="exact"/>
        <w:ind w:firstLineChars="200" w:firstLine="640"/>
        <w:jc w:val="center"/>
        <w:rPr>
          <w:rFonts w:ascii="宋体" w:eastAsia="黑体" w:hAnsi="宋体" w:cs="仿宋_GB2312"/>
          <w:color w:val="000000"/>
          <w:kern w:val="0"/>
          <w:sz w:val="32"/>
          <w:szCs w:val="32"/>
        </w:rPr>
      </w:pPr>
      <w:r>
        <w:rPr>
          <w:rFonts w:ascii="宋体" w:eastAsia="黑体" w:hAnsi="宋体" w:cs="仿宋_GB2312" w:hint="eastAsia"/>
          <w:color w:val="000000"/>
          <w:kern w:val="0"/>
          <w:sz w:val="32"/>
          <w:szCs w:val="32"/>
        </w:rPr>
        <w:t>第六章</w:t>
      </w:r>
      <w:r>
        <w:rPr>
          <w:rFonts w:ascii="宋体" w:eastAsia="黑体" w:hAnsi="宋体" w:cs="仿宋_GB2312" w:hint="eastAsia"/>
          <w:color w:val="000000"/>
          <w:kern w:val="0"/>
          <w:sz w:val="32"/>
          <w:szCs w:val="32"/>
        </w:rPr>
        <w:t xml:space="preserve">  </w:t>
      </w:r>
      <w:r>
        <w:rPr>
          <w:rFonts w:ascii="宋体" w:eastAsia="黑体" w:hAnsi="宋体" w:cs="仿宋_GB2312" w:hint="eastAsia"/>
          <w:color w:val="000000"/>
          <w:kern w:val="0"/>
          <w:sz w:val="32"/>
          <w:szCs w:val="32"/>
        </w:rPr>
        <w:t>附则</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w:t>
      </w:r>
      <w:r>
        <w:rPr>
          <w:rFonts w:ascii="仿宋_GB2312" w:eastAsia="仿宋_GB2312" w:hAnsi="宋体" w:cs="仿宋_GB2312" w:hint="eastAsia"/>
          <w:b/>
          <w:color w:val="000000"/>
          <w:kern w:val="0"/>
          <w:sz w:val="32"/>
          <w:szCs w:val="32"/>
        </w:rPr>
        <w:t>第二十条</w:t>
      </w:r>
      <w:r>
        <w:rPr>
          <w:rFonts w:ascii="仿宋_GB2312" w:eastAsia="仿宋_GB2312" w:hAnsi="宋体" w:cs="仿宋_GB2312" w:hint="eastAsia"/>
          <w:color w:val="000000"/>
          <w:kern w:val="0"/>
          <w:sz w:val="32"/>
          <w:szCs w:val="32"/>
        </w:rPr>
        <w:t xml:space="preserve"> 硕士学位证书</w:t>
      </w:r>
      <w:proofErr w:type="gramStart"/>
      <w:r>
        <w:rPr>
          <w:rFonts w:ascii="仿宋_GB2312" w:eastAsia="仿宋_GB2312" w:hAnsi="宋体" w:cs="仿宋_GB2312" w:hint="eastAsia"/>
          <w:color w:val="000000"/>
          <w:kern w:val="0"/>
          <w:sz w:val="32"/>
          <w:szCs w:val="32"/>
        </w:rPr>
        <w:t>时间按校学位</w:t>
      </w:r>
      <w:proofErr w:type="gramEnd"/>
      <w:r>
        <w:rPr>
          <w:rFonts w:ascii="仿宋_GB2312" w:eastAsia="仿宋_GB2312" w:hAnsi="宋体" w:cs="仿宋_GB2312" w:hint="eastAsia"/>
          <w:color w:val="000000"/>
          <w:kern w:val="0"/>
          <w:sz w:val="32"/>
          <w:szCs w:val="32"/>
        </w:rPr>
        <w:t>评定委员会</w:t>
      </w:r>
      <w:proofErr w:type="gramStart"/>
      <w:r>
        <w:rPr>
          <w:rFonts w:ascii="仿宋_GB2312" w:eastAsia="仿宋_GB2312" w:hAnsi="宋体" w:cs="仿宋_GB2312" w:hint="eastAsia"/>
          <w:color w:val="000000"/>
          <w:kern w:val="0"/>
          <w:sz w:val="32"/>
          <w:szCs w:val="32"/>
        </w:rPr>
        <w:t>作出</w:t>
      </w:r>
      <w:proofErr w:type="gramEnd"/>
      <w:r>
        <w:rPr>
          <w:rFonts w:ascii="仿宋_GB2312" w:eastAsia="仿宋_GB2312" w:hAnsi="宋体" w:cs="仿宋_GB2312" w:hint="eastAsia"/>
          <w:color w:val="000000"/>
          <w:kern w:val="0"/>
          <w:sz w:val="32"/>
          <w:szCs w:val="32"/>
        </w:rPr>
        <w:t>授予学位决议日期填写。</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w:t>
      </w:r>
      <w:r>
        <w:rPr>
          <w:rFonts w:ascii="仿宋_GB2312" w:eastAsia="仿宋_GB2312" w:hAnsi="宋体" w:cs="仿宋_GB2312" w:hint="eastAsia"/>
          <w:b/>
          <w:color w:val="000000"/>
          <w:kern w:val="0"/>
          <w:sz w:val="32"/>
          <w:szCs w:val="32"/>
        </w:rPr>
        <w:t>第二十一条</w:t>
      </w:r>
      <w:r>
        <w:rPr>
          <w:rFonts w:ascii="仿宋_GB2312" w:eastAsia="仿宋_GB2312" w:hAnsi="宋体" w:cs="仿宋_GB2312" w:hint="eastAsia"/>
          <w:color w:val="000000"/>
          <w:kern w:val="0"/>
          <w:sz w:val="32"/>
          <w:szCs w:val="32"/>
        </w:rPr>
        <w:t xml:space="preserve"> 学位论文工作涉及保密的，按国家有关保密的法律和行政法规执行。</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FF0000"/>
          <w:kern w:val="0"/>
          <w:sz w:val="32"/>
          <w:szCs w:val="32"/>
        </w:rPr>
        <w:t xml:space="preserve"> </w:t>
      </w:r>
      <w:r>
        <w:rPr>
          <w:rFonts w:ascii="仿宋_GB2312" w:eastAsia="仿宋_GB2312" w:hAnsi="宋体" w:cs="仿宋_GB2312" w:hint="eastAsia"/>
          <w:b/>
          <w:color w:val="000000"/>
          <w:kern w:val="0"/>
          <w:sz w:val="32"/>
          <w:szCs w:val="32"/>
        </w:rPr>
        <w:t>第二十二条</w:t>
      </w:r>
      <w:r>
        <w:rPr>
          <w:rFonts w:ascii="仿宋_GB2312" w:eastAsia="仿宋_GB2312" w:hAnsi="宋体" w:cs="仿宋_GB2312" w:hint="eastAsia"/>
          <w:color w:val="000000"/>
          <w:kern w:val="0"/>
          <w:sz w:val="32"/>
          <w:szCs w:val="32"/>
        </w:rPr>
        <w:t xml:space="preserve"> 本办法由研究生部负责解释。</w:t>
      </w:r>
    </w:p>
    <w:p w:rsidR="00DF3DF6" w:rsidRDefault="00DF3DF6">
      <w:pPr>
        <w:widowControl/>
        <w:spacing w:line="520" w:lineRule="exact"/>
        <w:ind w:firstLineChars="200" w:firstLine="64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w:t>
      </w:r>
      <w:r>
        <w:rPr>
          <w:rFonts w:ascii="仿宋_GB2312" w:eastAsia="仿宋_GB2312" w:hAnsi="宋体" w:cs="仿宋_GB2312" w:hint="eastAsia"/>
          <w:b/>
          <w:color w:val="000000"/>
          <w:kern w:val="0"/>
          <w:sz w:val="32"/>
          <w:szCs w:val="32"/>
        </w:rPr>
        <w:t>第二十三条</w:t>
      </w:r>
      <w:r>
        <w:rPr>
          <w:rFonts w:ascii="仿宋_GB2312" w:eastAsia="仿宋_GB2312" w:hAnsi="宋体" w:cs="仿宋_GB2312" w:hint="eastAsia"/>
          <w:color w:val="000000"/>
          <w:kern w:val="0"/>
          <w:sz w:val="32"/>
          <w:szCs w:val="32"/>
        </w:rPr>
        <w:t xml:space="preserve"> 本办法自校长办公会议通过之日起执行。</w:t>
      </w:r>
    </w:p>
    <w:p w:rsidR="00DF3DF6" w:rsidRDefault="00DF3DF6">
      <w:pPr>
        <w:spacing w:line="440" w:lineRule="exact"/>
        <w:rPr>
          <w:rFonts w:ascii="仿宋_GB2312" w:eastAsia="仿宋_GB2312" w:hAnsi="宋体" w:cs="仿宋_GB2312"/>
          <w:color w:val="000000"/>
          <w:kern w:val="0"/>
          <w:sz w:val="32"/>
          <w:szCs w:val="32"/>
        </w:rPr>
      </w:pPr>
    </w:p>
    <w:sectPr w:rsidR="00DF3DF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247" w:rsidRDefault="00684247" w:rsidP="00B758F9">
      <w:r>
        <w:separator/>
      </w:r>
    </w:p>
  </w:endnote>
  <w:endnote w:type="continuationSeparator" w:id="0">
    <w:p w:rsidR="00684247" w:rsidRDefault="00684247" w:rsidP="00B7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247" w:rsidRDefault="00684247" w:rsidP="00B758F9">
      <w:r>
        <w:separator/>
      </w:r>
    </w:p>
  </w:footnote>
  <w:footnote w:type="continuationSeparator" w:id="0">
    <w:p w:rsidR="00684247" w:rsidRDefault="00684247" w:rsidP="00B758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savePreviewPicture/>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9546A9"/>
    <w:rsid w:val="00000A03"/>
    <w:rsid w:val="00062F94"/>
    <w:rsid w:val="000770EE"/>
    <w:rsid w:val="00083732"/>
    <w:rsid w:val="000B0758"/>
    <w:rsid w:val="00196DA6"/>
    <w:rsid w:val="002D3ACE"/>
    <w:rsid w:val="00306C00"/>
    <w:rsid w:val="0034222A"/>
    <w:rsid w:val="00346C03"/>
    <w:rsid w:val="00365115"/>
    <w:rsid w:val="0039295C"/>
    <w:rsid w:val="003C3D2F"/>
    <w:rsid w:val="00401642"/>
    <w:rsid w:val="004054AA"/>
    <w:rsid w:val="004216F6"/>
    <w:rsid w:val="004824E2"/>
    <w:rsid w:val="004B4610"/>
    <w:rsid w:val="004D4092"/>
    <w:rsid w:val="005030F7"/>
    <w:rsid w:val="00517BC8"/>
    <w:rsid w:val="00521D6D"/>
    <w:rsid w:val="0054366C"/>
    <w:rsid w:val="005D7E0B"/>
    <w:rsid w:val="005F667F"/>
    <w:rsid w:val="00684247"/>
    <w:rsid w:val="006F1BA6"/>
    <w:rsid w:val="00793B11"/>
    <w:rsid w:val="008D37ED"/>
    <w:rsid w:val="008D628A"/>
    <w:rsid w:val="008F5493"/>
    <w:rsid w:val="00991DBD"/>
    <w:rsid w:val="00A1280E"/>
    <w:rsid w:val="00A31DCB"/>
    <w:rsid w:val="00AA77DF"/>
    <w:rsid w:val="00B01DD2"/>
    <w:rsid w:val="00B1220E"/>
    <w:rsid w:val="00B60FF3"/>
    <w:rsid w:val="00B758F9"/>
    <w:rsid w:val="00BC7063"/>
    <w:rsid w:val="00C0500C"/>
    <w:rsid w:val="00C52990"/>
    <w:rsid w:val="00CD32A6"/>
    <w:rsid w:val="00CD459C"/>
    <w:rsid w:val="00CF45D8"/>
    <w:rsid w:val="00DC3F1A"/>
    <w:rsid w:val="00DC6927"/>
    <w:rsid w:val="00DD6C74"/>
    <w:rsid w:val="00DF3DF6"/>
    <w:rsid w:val="00E363AC"/>
    <w:rsid w:val="00E5519A"/>
    <w:rsid w:val="00E87E21"/>
    <w:rsid w:val="00EA24BF"/>
    <w:rsid w:val="00F66208"/>
    <w:rsid w:val="00F97C44"/>
    <w:rsid w:val="00FD71E0"/>
    <w:rsid w:val="00FF5CAB"/>
    <w:rsid w:val="04FF0A27"/>
    <w:rsid w:val="06F83FD0"/>
    <w:rsid w:val="1D4D701E"/>
    <w:rsid w:val="250A1536"/>
    <w:rsid w:val="2A497C49"/>
    <w:rsid w:val="2A7305F4"/>
    <w:rsid w:val="2F696809"/>
    <w:rsid w:val="3A615CC8"/>
    <w:rsid w:val="3D9546A9"/>
    <w:rsid w:val="458D75EA"/>
    <w:rsid w:val="51563A00"/>
    <w:rsid w:val="55DE3B48"/>
    <w:rsid w:val="5CB33A13"/>
    <w:rsid w:val="63D33FCC"/>
    <w:rsid w:val="73651555"/>
    <w:rsid w:val="7A543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Normal (Web)" w:semiHidden="0" w:uiPriority="0"/>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00"/>
      <w:u w:val="none"/>
    </w:rPr>
  </w:style>
  <w:style w:type="character" w:styleId="a4">
    <w:name w:val="FollowedHyperlink"/>
    <w:uiPriority w:val="99"/>
    <w:unhideWhenUsed/>
    <w:rPr>
      <w:color w:val="000000"/>
      <w:u w:val="none"/>
    </w:rPr>
  </w:style>
  <w:style w:type="paragraph" w:styleId="a5">
    <w:name w:val="header"/>
    <w:basedOn w:val="a"/>
    <w:unhideWhenUsed/>
    <w:pPr>
      <w:pBdr>
        <w:bottom w:val="single" w:sz="6" w:space="1" w:color="auto"/>
      </w:pBdr>
      <w:tabs>
        <w:tab w:val="center" w:pos="4153"/>
        <w:tab w:val="right" w:pos="8306"/>
      </w:tabs>
      <w:snapToGrid w:val="0"/>
      <w:jc w:val="center"/>
    </w:pPr>
    <w:rPr>
      <w:sz w:val="18"/>
      <w:szCs w:val="18"/>
    </w:rPr>
  </w:style>
  <w:style w:type="paragraph" w:styleId="a6">
    <w:name w:val="footer"/>
    <w:basedOn w:val="a"/>
    <w:unhideWhenUsed/>
    <w:pPr>
      <w:tabs>
        <w:tab w:val="center" w:pos="4153"/>
        <w:tab w:val="right" w:pos="8306"/>
      </w:tabs>
      <w:snapToGrid w:val="0"/>
      <w:jc w:val="left"/>
    </w:pPr>
    <w:rPr>
      <w:sz w:val="18"/>
      <w:szCs w:val="18"/>
    </w:rPr>
  </w:style>
  <w:style w:type="paragraph" w:styleId="a7">
    <w:name w:val="Normal (Web)"/>
    <w:basedOn w:val="a"/>
    <w:unhideWhenUsed/>
    <w:pPr>
      <w:spacing w:before="100" w:beforeAutospacing="1" w:after="100"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Normal (Web)" w:semiHidden="0" w:uiPriority="0"/>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00"/>
      <w:u w:val="none"/>
    </w:rPr>
  </w:style>
  <w:style w:type="character" w:styleId="a4">
    <w:name w:val="FollowedHyperlink"/>
    <w:uiPriority w:val="99"/>
    <w:unhideWhenUsed/>
    <w:rPr>
      <w:color w:val="000000"/>
      <w:u w:val="none"/>
    </w:rPr>
  </w:style>
  <w:style w:type="paragraph" w:styleId="a5">
    <w:name w:val="header"/>
    <w:basedOn w:val="a"/>
    <w:unhideWhenUsed/>
    <w:pPr>
      <w:pBdr>
        <w:bottom w:val="single" w:sz="6" w:space="1" w:color="auto"/>
      </w:pBdr>
      <w:tabs>
        <w:tab w:val="center" w:pos="4153"/>
        <w:tab w:val="right" w:pos="8306"/>
      </w:tabs>
      <w:snapToGrid w:val="0"/>
      <w:jc w:val="center"/>
    </w:pPr>
    <w:rPr>
      <w:sz w:val="18"/>
      <w:szCs w:val="18"/>
    </w:rPr>
  </w:style>
  <w:style w:type="paragraph" w:styleId="a6">
    <w:name w:val="footer"/>
    <w:basedOn w:val="a"/>
    <w:unhideWhenUsed/>
    <w:pPr>
      <w:tabs>
        <w:tab w:val="center" w:pos="4153"/>
        <w:tab w:val="right" w:pos="8306"/>
      </w:tabs>
      <w:snapToGrid w:val="0"/>
      <w:jc w:val="left"/>
    </w:pPr>
    <w:rPr>
      <w:sz w:val="18"/>
      <w:szCs w:val="18"/>
    </w:rPr>
  </w:style>
  <w:style w:type="paragraph" w:styleId="a7">
    <w:name w:val="Normal (Web)"/>
    <w:basedOn w:val="a"/>
    <w:unhideWhenUsed/>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416</Words>
  <Characters>2374</Characters>
  <Application>Microsoft Office Word</Application>
  <DocSecurity>0</DocSecurity>
  <PresentationFormat/>
  <Lines>19</Lines>
  <Paragraphs>5</Paragraphs>
  <Slides>0</Slides>
  <Notes>0</Notes>
  <HiddenSlides>0</HiddenSlides>
  <MMClips>0</MMClips>
  <ScaleCrop>false</ScaleCrop>
  <Company>Microsoft</Company>
  <LinksUpToDate>false</LinksUpToDate>
  <CharactersWithSpaces>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上海第二工业大学硕士学位授予工作实施细则（试行）</dc:title>
  <dc:creator>sspu</dc:creator>
  <cp:lastModifiedBy>刘雪儿</cp:lastModifiedBy>
  <cp:revision>2</cp:revision>
  <dcterms:created xsi:type="dcterms:W3CDTF">2023-04-25T09:24:00Z</dcterms:created>
  <dcterms:modified xsi:type="dcterms:W3CDTF">2023-04-25T09:24:00Z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