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华文行楷"/>
          <w:b/>
          <w:sz w:val="36"/>
          <w:szCs w:val="36"/>
        </w:rPr>
      </w:pPr>
      <w:r>
        <w:rPr>
          <w:rFonts w:hint="eastAsia" w:eastAsia="华文行楷"/>
          <w:b/>
          <w:sz w:val="36"/>
          <w:szCs w:val="36"/>
        </w:rPr>
        <w:t>上海第二工业大学硕士学位论文答辩评分表</w:t>
      </w:r>
    </w:p>
    <w:p>
      <w:pPr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/>
          <w:b/>
        </w:rPr>
        <w:t xml:space="preserve">                             </w:t>
      </w:r>
      <w:r>
        <w:rPr>
          <w:rFonts w:hint="eastAsia" w:ascii="楷体_GB2312" w:eastAsia="楷体_GB2312"/>
          <w:b/>
        </w:rPr>
        <w:t xml:space="preserve"> </w:t>
      </w:r>
      <w:r>
        <w:rPr>
          <w:rFonts w:hint="eastAsia" w:ascii="楷体_GB2312" w:eastAsia="楷体_GB2312"/>
          <w:b/>
          <w:sz w:val="28"/>
          <w:szCs w:val="28"/>
        </w:rPr>
        <w:t xml:space="preserve"> （应用研究类）</w:t>
      </w:r>
    </w:p>
    <w:p>
      <w:pPr>
        <w:rPr>
          <w:rFonts w:hint="default" w:ascii="楷体_GB2312" w:eastAsia="楷体_GB2312"/>
          <w:sz w:val="18"/>
          <w:lang w:val="en-US" w:eastAsia="zh-CN"/>
        </w:rPr>
      </w:pPr>
      <w:r>
        <w:rPr>
          <w:rFonts w:hint="eastAsia" w:ascii="楷体_GB2312" w:eastAsia="楷体_GB2312"/>
          <w:b/>
        </w:rPr>
        <w:t>研究生姓名：</w:t>
      </w:r>
      <w:r>
        <w:rPr>
          <w:rFonts w:hint="eastAsia" w:ascii="楷体_GB2312" w:eastAsia="楷体_GB2312"/>
          <w:sz w:val="18"/>
        </w:rPr>
        <w:t xml:space="preserve"> </w:t>
      </w:r>
      <w:r>
        <w:rPr>
          <w:rFonts w:hint="eastAsia" w:ascii="楷体_GB2312" w:eastAsia="楷体_GB2312"/>
          <w:sz w:val="18"/>
          <w:lang w:val="en-US" w:eastAsia="zh-CN"/>
        </w:rPr>
        <w:t>王依婷</w:t>
      </w:r>
      <w:r>
        <w:rPr>
          <w:rFonts w:hint="eastAsia" w:ascii="楷体_GB2312" w:eastAsia="楷体_GB2312"/>
          <w:sz w:val="18"/>
        </w:rPr>
        <w:t xml:space="preserve">             </w:t>
      </w:r>
      <w:r>
        <w:rPr>
          <w:rFonts w:hint="eastAsia" w:ascii="楷体_GB2312" w:eastAsia="楷体_GB2312"/>
          <w:b/>
        </w:rPr>
        <w:t>学号：</w:t>
      </w:r>
      <w:r>
        <w:rPr>
          <w:rFonts w:hint="eastAsia" w:ascii="楷体_GB2312" w:eastAsia="楷体_GB2312"/>
          <w:sz w:val="18"/>
        </w:rPr>
        <w:t xml:space="preserve"> 20181510099              </w:t>
      </w:r>
      <w:r>
        <w:rPr>
          <w:rFonts w:hint="eastAsia" w:ascii="楷体_GB2312" w:eastAsia="楷体_GB2312"/>
          <w:b/>
        </w:rPr>
        <w:t>专业：</w:t>
      </w:r>
      <w:r>
        <w:rPr>
          <w:rFonts w:hint="eastAsia" w:ascii="楷体_GB2312" w:eastAsia="楷体_GB2312"/>
          <w:sz w:val="18"/>
        </w:rPr>
        <w:t xml:space="preserve">     </w:t>
      </w:r>
      <w:r>
        <w:rPr>
          <w:rFonts w:hint="eastAsia" w:ascii="楷体_GB2312" w:eastAsia="楷体_GB2312"/>
          <w:sz w:val="18"/>
          <w:lang w:val="en-US" w:eastAsia="zh-CN"/>
        </w:rPr>
        <w:t>环境工程</w:t>
      </w:r>
    </w:p>
    <w:p>
      <w:pPr>
        <w:rPr>
          <w:rFonts w:ascii="楷体_GB2312" w:eastAsia="楷体_GB2312"/>
          <w:b/>
        </w:rPr>
      </w:pPr>
    </w:p>
    <w:p>
      <w:pPr>
        <w:rPr>
          <w:rFonts w:hint="eastAsia" w:ascii="楷体_GB2312" w:hAnsi="Times New Roman" w:eastAsia="楷体_GB2312" w:cs="Times New Roman"/>
          <w:sz w:val="18"/>
          <w:lang w:val="en-US" w:eastAsia="zh-CN"/>
        </w:rPr>
      </w:pPr>
      <w:r>
        <w:rPr>
          <w:rFonts w:hint="eastAsia" w:ascii="楷体_GB2312" w:eastAsia="楷体_GB2312"/>
          <w:b/>
        </w:rPr>
        <w:t>论文题目：</w:t>
      </w:r>
      <w:r>
        <w:rPr>
          <w:rFonts w:hint="eastAsia" w:ascii="楷体_GB2312" w:eastAsia="楷体_GB2312"/>
          <w:sz w:val="18"/>
        </w:rPr>
        <w:t xml:space="preserve"> </w:t>
      </w:r>
      <w:r>
        <w:rPr>
          <w:rFonts w:hint="eastAsia" w:ascii="楷体_GB2312" w:hAnsi="Times New Roman" w:eastAsia="楷体_GB2312" w:cs="Times New Roman"/>
          <w:sz w:val="18"/>
          <w:lang w:val="en-US" w:eastAsia="zh-CN"/>
        </w:rPr>
        <w:t xml:space="preserve">基于EEMD-BP组合模型的新疆阿克苏地区地表净太阳辐射预测研究 </w:t>
      </w:r>
    </w:p>
    <w:tbl>
      <w:tblPr>
        <w:tblStyle w:val="6"/>
        <w:tblW w:w="9907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985"/>
        <w:gridCol w:w="2126"/>
        <w:gridCol w:w="1984"/>
        <w:gridCol w:w="1560"/>
        <w:gridCol w:w="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项目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优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100—90%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良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89—70%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合格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70—60%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不合格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60%以下</w:t>
            </w: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2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选题与综述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15分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选题接触学科前沿，有较大的理论意义或实用价值。阅读广泛，综合分析能力强，了解本领域国内外学术动态，主攻方向明确。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（15≥X≥13.5）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选题有理论意义或实用价值。阅读较广泛，综合分析能力较强，了解本领域前人主要工作，明确自己的工作意义。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（13.5&gt;X≥10.5）</w:t>
            </w:r>
          </w:p>
        </w:tc>
        <w:tc>
          <w:tcPr>
            <w:tcW w:w="1984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选题有一定的理论意义或实用价值。满足论文必要的阅读量，综合分析能力尚可，能在前人的工作基础上明确自己的工作。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（10.5&gt;X≥9）</w:t>
            </w:r>
          </w:p>
        </w:tc>
        <w:tc>
          <w:tcPr>
            <w:tcW w:w="1560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选题不大适宜或不适宜。阅读量少，综述不够或没有综述。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(9&gt;X)</w:t>
            </w:r>
          </w:p>
        </w:tc>
        <w:tc>
          <w:tcPr>
            <w:tcW w:w="976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4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研究内容、研究方法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30分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研究有创新，方案设计很合理，资料与数据分析科学、依据可靠；应用基本理论及专业知识合理；研究方法科学、合理，研究手段先进、实用。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（30≥X≥27）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研究有新见解，方案设计较合理，资料与数据分析较有科学性；较好的应用了基本理论及专业知识；研究方法恰当，研究手段较先进、实用。</w:t>
            </w:r>
          </w:p>
          <w:p>
            <w:pPr>
              <w:rPr>
                <w:rFonts w:ascii="楷体_GB2312" w:eastAsia="楷体_GB2312"/>
                <w:b/>
                <w:szCs w:val="21"/>
              </w:rPr>
            </w:pP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（27&gt;X≥21）</w:t>
            </w:r>
          </w:p>
        </w:tc>
        <w:tc>
          <w:tcPr>
            <w:tcW w:w="1984" w:type="dxa"/>
            <w:vAlign w:val="center"/>
          </w:tcPr>
          <w:p>
            <w:pPr>
              <w:pStyle w:val="2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研究有一定的新见解，能应用基本的理论及专业知识。资料与数据分析有一定的科学性；研究方法、研究手段一般。研究方案尚可。</w:t>
            </w:r>
          </w:p>
          <w:p>
            <w:pPr>
              <w:pStyle w:val="2"/>
              <w:ind w:firstLine="316" w:firstLineChars="150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（21&gt;X≥18）</w:t>
            </w:r>
          </w:p>
        </w:tc>
        <w:tc>
          <w:tcPr>
            <w:tcW w:w="1560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研究方案不合理，依据缺乏可靠性；应用知识能力较差。看不出论文有什么学术价值和应用前景。</w:t>
            </w:r>
          </w:p>
          <w:p>
            <w:pPr>
              <w:ind w:firstLine="316" w:firstLineChars="150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(18&gt;X)</w:t>
            </w:r>
          </w:p>
        </w:tc>
        <w:tc>
          <w:tcPr>
            <w:tcW w:w="976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研究成果及实用性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25分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研究结果可靠，成果新颖；研究有新思路、新见解；很有工程应用价值或可产生较大的经济效益。</w:t>
            </w:r>
          </w:p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（25≥X≥22.5）</w:t>
            </w:r>
          </w:p>
        </w:tc>
        <w:tc>
          <w:tcPr>
            <w:tcW w:w="2126" w:type="dxa"/>
            <w:vAlign w:val="center"/>
          </w:tcPr>
          <w:p>
            <w:pPr>
              <w:ind w:left="105" w:hanging="105" w:hangingChars="50"/>
              <w:rPr>
                <w:rFonts w:ascii="楷体_GB2312" w:eastAsia="楷体_GB2312"/>
                <w:b/>
                <w:szCs w:val="21"/>
              </w:rPr>
            </w:pPr>
          </w:p>
          <w:p>
            <w:pPr>
              <w:ind w:left="105" w:hanging="105" w:hangingChars="50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研究结果较完整，成</w:t>
            </w:r>
          </w:p>
          <w:p>
            <w:pPr>
              <w:ind w:left="105" w:hanging="105" w:hangingChars="50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果较突出；有较大的</w:t>
            </w:r>
          </w:p>
          <w:p>
            <w:pPr>
              <w:ind w:left="105" w:hanging="105" w:hangingChars="50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工程应用价值和应用</w:t>
            </w:r>
          </w:p>
          <w:p>
            <w:pPr>
              <w:ind w:left="105" w:hanging="105" w:hangingChars="50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前景，或可产生一定</w:t>
            </w:r>
          </w:p>
          <w:p>
            <w:pPr>
              <w:ind w:left="105" w:hanging="105" w:hangingChars="50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的经济效益。</w:t>
            </w:r>
          </w:p>
          <w:p>
            <w:pPr>
              <w:rPr>
                <w:rFonts w:ascii="楷体_GB2312" w:eastAsia="楷体_GB2312"/>
                <w:b/>
                <w:szCs w:val="21"/>
              </w:rPr>
            </w:pPr>
          </w:p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（22.5&gt;X≥17.5）</w:t>
            </w:r>
          </w:p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研究结果基本完整，研究成果有一定的应用价值和应用前景，或稍有经济效益。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（17.5&gt;X≥15）</w:t>
            </w:r>
          </w:p>
        </w:tc>
        <w:tc>
          <w:tcPr>
            <w:tcW w:w="1560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研究结果不正确。研究方法不科学，没有工程应用价值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(15&gt;X)</w:t>
            </w:r>
          </w:p>
        </w:tc>
        <w:tc>
          <w:tcPr>
            <w:tcW w:w="976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工作量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10分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有效工作量大。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（10≥X≥9）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有效工作量较大。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（9&gt;X≥7）</w:t>
            </w:r>
          </w:p>
        </w:tc>
        <w:tc>
          <w:tcPr>
            <w:tcW w:w="1984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有效工作量尚可。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（7&gt;X≥6）</w:t>
            </w:r>
          </w:p>
        </w:tc>
        <w:tc>
          <w:tcPr>
            <w:tcW w:w="1560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有效工作量不足。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(6&gt;X)</w:t>
            </w:r>
          </w:p>
        </w:tc>
        <w:tc>
          <w:tcPr>
            <w:tcW w:w="976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写作能力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10分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条理清楚，层次分明，说理透彻，文笔流畅；外文摘要语句通顺，语法正确，学风严谨。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（10≥X≥9）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条理性好，层次分明，文笔较好；外文摘要语句通顺，语法基本正确；学风严谨。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（9&gt;X≥7）</w:t>
            </w:r>
          </w:p>
        </w:tc>
        <w:tc>
          <w:tcPr>
            <w:tcW w:w="1984" w:type="dxa"/>
            <w:vAlign w:val="center"/>
          </w:tcPr>
          <w:p>
            <w:pPr>
              <w:pStyle w:val="5"/>
              <w:spacing w:line="240" w:lineRule="auto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写作能力尚可；外文摘要基本上能反映出所叙述的内容，语法错误不多；学风尚可。</w:t>
            </w:r>
          </w:p>
          <w:p>
            <w:pPr>
              <w:pStyle w:val="5"/>
              <w:spacing w:line="240" w:lineRule="auto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（7&gt;X≥6）</w:t>
            </w:r>
          </w:p>
        </w:tc>
        <w:tc>
          <w:tcPr>
            <w:tcW w:w="1560" w:type="dxa"/>
            <w:vAlign w:val="center"/>
          </w:tcPr>
          <w:p>
            <w:pPr>
              <w:pStyle w:val="5"/>
              <w:spacing w:line="240" w:lineRule="auto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中、外文写作能力差或学风有问题。</w:t>
            </w:r>
          </w:p>
          <w:p>
            <w:pPr>
              <w:jc w:val="center"/>
              <w:rPr>
                <w:rFonts w:ascii="楷体_GB2312" w:hAnsi="宋体" w:eastAsia="楷体_GB2312"/>
                <w:b/>
                <w:szCs w:val="21"/>
              </w:rPr>
            </w:pPr>
          </w:p>
          <w:p>
            <w:pPr>
              <w:jc w:val="center"/>
              <w:rPr>
                <w:rFonts w:ascii="楷体_GB2312" w:hAnsi="宋体" w:eastAsia="楷体_GB2312"/>
                <w:b/>
                <w:szCs w:val="21"/>
              </w:rPr>
            </w:pPr>
          </w:p>
          <w:p>
            <w:pPr>
              <w:jc w:val="center"/>
              <w:rPr>
                <w:rFonts w:ascii="楷体_GB2312" w:hAnsi="宋体" w:eastAsia="楷体_GB2312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Cs w:val="21"/>
              </w:rPr>
              <w:t>(6&gt;X)</w:t>
            </w:r>
          </w:p>
        </w:tc>
        <w:tc>
          <w:tcPr>
            <w:tcW w:w="976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答辩情况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10分</w:t>
            </w:r>
          </w:p>
        </w:tc>
        <w:tc>
          <w:tcPr>
            <w:tcW w:w="1985" w:type="dxa"/>
            <w:vAlign w:val="center"/>
          </w:tcPr>
          <w:p>
            <w:pPr>
              <w:pStyle w:val="5"/>
              <w:spacing w:line="240" w:lineRule="auto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在规定的时间内，简明扼要、重点突出地阐述论文的主要内容；能准确、流利地回答提出的各种问题。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（10≥X≥9）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在规定的时间内，较流利、清楚地报告论文的主要内容；能较恰当地回答与本论文有关的问题。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（9&gt;X≥7）</w:t>
            </w:r>
          </w:p>
        </w:tc>
        <w:tc>
          <w:tcPr>
            <w:tcW w:w="1984" w:type="dxa"/>
            <w:vAlign w:val="center"/>
          </w:tcPr>
          <w:p>
            <w:pPr>
              <w:pStyle w:val="2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在规定的时间内，基本上叙述出论文的主要内容；基本上能回答出与论文有关的问题。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（7&gt;X≥6）</w:t>
            </w:r>
          </w:p>
        </w:tc>
        <w:tc>
          <w:tcPr>
            <w:tcW w:w="1560" w:type="dxa"/>
            <w:vAlign w:val="center"/>
          </w:tcPr>
          <w:p>
            <w:pPr>
              <w:pStyle w:val="5"/>
              <w:spacing w:line="240" w:lineRule="auto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在规定的时间内不能阐明论文的主要内容；主要问题答不出或回答不正确。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(6&gt;X)</w:t>
            </w:r>
          </w:p>
        </w:tc>
        <w:tc>
          <w:tcPr>
            <w:tcW w:w="976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总得分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631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 xml:space="preserve"> </w:t>
            </w:r>
          </w:p>
        </w:tc>
      </w:tr>
    </w:tbl>
    <w:p>
      <w:pPr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b/>
          <w:szCs w:val="21"/>
        </w:rPr>
        <w:t xml:space="preserve">                                                                                                                             答辩日期：    年     月    日</w:t>
      </w:r>
    </w:p>
    <w:p>
      <w:pPr>
        <w:ind w:firstLine="422" w:firstLineChars="200"/>
        <w:rPr>
          <w:rFonts w:ascii="楷体_GB2312" w:eastAsia="楷体_GB2312"/>
          <w:b/>
          <w:bCs/>
          <w:szCs w:val="21"/>
        </w:rPr>
      </w:pPr>
      <w:r>
        <w:rPr>
          <w:rFonts w:hint="eastAsia" w:ascii="楷体_GB2312" w:eastAsia="楷体_GB2312"/>
          <w:b/>
          <w:bCs/>
          <w:szCs w:val="21"/>
        </w:rPr>
        <w:t>注：（1）表上的研究生姓名、学号、专业、论文题目和答辩日期由答辩秘书统一填写好，加盖学院公章后方可送出。</w:t>
      </w:r>
    </w:p>
    <w:p>
      <w:pPr>
        <w:spacing w:before="120"/>
        <w:ind w:firstLine="316" w:firstLineChars="150"/>
        <w:rPr>
          <w:rFonts w:ascii="宋体"/>
          <w:bCs/>
          <w:sz w:val="18"/>
        </w:rPr>
      </w:pPr>
      <w:r>
        <w:rPr>
          <w:rFonts w:hint="eastAsia" w:ascii="楷体_GB2312" w:eastAsia="楷体_GB2312"/>
          <w:b/>
          <w:bCs/>
          <w:szCs w:val="21"/>
        </w:rPr>
        <w:t>（2）答辩秘书算出的平均分记在硕士学位申请表中“答辩委员会决议”一栏的左下角。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83A"/>
    <w:rsid w:val="003850D0"/>
    <w:rsid w:val="005D5261"/>
    <w:rsid w:val="0085383A"/>
    <w:rsid w:val="00956767"/>
    <w:rsid w:val="00B57F87"/>
    <w:rsid w:val="00DE5EF1"/>
    <w:rsid w:val="45EE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iPriority w:val="0"/>
    <w:pPr>
      <w:spacing w:after="12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Body Text 2"/>
    <w:basedOn w:val="1"/>
    <w:link w:val="11"/>
    <w:uiPriority w:val="0"/>
    <w:pPr>
      <w:spacing w:after="120" w:line="480" w:lineRule="auto"/>
    </w:p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uiPriority w:val="0"/>
    <w:rPr>
      <w:rFonts w:ascii="Times New Roman" w:hAnsi="Times New Roman" w:eastAsia="宋体" w:cs="Times New Roman"/>
      <w:szCs w:val="20"/>
    </w:rPr>
  </w:style>
  <w:style w:type="character" w:customStyle="1" w:styleId="11">
    <w:name w:val="正文文本 2 Char"/>
    <w:basedOn w:val="7"/>
    <w:link w:val="5"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245</Words>
  <Characters>1401</Characters>
  <Lines>11</Lines>
  <Paragraphs>3</Paragraphs>
  <TotalTime>0</TotalTime>
  <ScaleCrop>false</ScaleCrop>
  <LinksUpToDate>false</LinksUpToDate>
  <CharactersWithSpaces>1643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2017-05-15T05:44:00Z</dcterms:created>
  <dc:creator>123</dc:creator>
  <cp:lastModifiedBy>M420</cp:lastModifiedBy>
  <dcterms:modified xsi:type="dcterms:W3CDTF">2021-05-19T01:02:14Z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D2710873622B40469EBC69CBE7D4C4DC</vt:lpwstr>
  </property>
</Properties>
</file>